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8CDC5" w14:textId="7C0487E8" w:rsidR="001A1B81" w:rsidRDefault="001A1B81" w:rsidP="001A1B81">
      <w:pPr>
        <w:pStyle w:val="Header"/>
        <w:tabs>
          <w:tab w:val="right" w:pos="9781"/>
          <w:tab w:val="right" w:pos="13323"/>
        </w:tabs>
        <w:spacing w:before="60" w:after="60"/>
        <w:outlineLvl w:val="0"/>
        <w:rPr>
          <w:rFonts w:cs="Arial"/>
          <w:b w:val="0"/>
          <w:sz w:val="24"/>
          <w:szCs w:val="24"/>
          <w:lang w:eastAsia="zh-CN"/>
        </w:rPr>
      </w:pPr>
      <w:bookmarkStart w:id="0" w:name="Title"/>
      <w:bookmarkStart w:id="1" w:name="_Ref462675860"/>
      <w:bookmarkEnd w:id="0"/>
      <w:r w:rsidRPr="00F542A0">
        <w:rPr>
          <w:rFonts w:cs="Arial"/>
          <w:sz w:val="24"/>
          <w:szCs w:val="24"/>
          <w:lang w:eastAsia="zh-CN"/>
        </w:rPr>
        <w:t>3GPP TSG-RAN WG4 Meeting #114</w:t>
      </w:r>
      <w:r w:rsidRPr="00F542A0">
        <w:rPr>
          <w:rFonts w:cs="Arial"/>
          <w:sz w:val="24"/>
          <w:szCs w:val="24"/>
          <w:lang w:eastAsia="zh-CN"/>
        </w:rPr>
        <w:tab/>
      </w:r>
      <w:r w:rsidR="00692EC1" w:rsidRPr="00692EC1">
        <w:rPr>
          <w:rFonts w:cs="Arial"/>
          <w:sz w:val="24"/>
          <w:szCs w:val="24"/>
          <w:lang w:eastAsia="zh-CN"/>
        </w:rPr>
        <w:t>R4-2501697</w:t>
      </w:r>
    </w:p>
    <w:p w14:paraId="7CCAE72A" w14:textId="77777777" w:rsidR="001A1B81" w:rsidRPr="0052514D" w:rsidRDefault="001A1B81" w:rsidP="001A1B81">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5389AA48" w14:textId="14129CCD" w:rsidR="00447550" w:rsidRPr="00C13DA6" w:rsidRDefault="00447550" w:rsidP="001841B1">
      <w:pPr>
        <w:rPr>
          <w:rFonts w:ascii="Arial" w:hAnsi="Arial" w:cs="Arial"/>
          <w:b/>
        </w:rPr>
      </w:pPr>
    </w:p>
    <w:p w14:paraId="75E5446D" w14:textId="60D4DDB6" w:rsidR="00A37CEF" w:rsidRPr="00785E35" w:rsidRDefault="00A37CEF" w:rsidP="002A0877">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827913">
        <w:rPr>
          <w:rFonts w:ascii="Arial" w:hAnsi="Arial"/>
          <w:sz w:val="24"/>
        </w:rPr>
        <w:t>7</w:t>
      </w:r>
      <w:r w:rsidR="006B0E0F">
        <w:rPr>
          <w:rFonts w:ascii="Arial" w:hAnsi="Arial"/>
          <w:sz w:val="24"/>
        </w:rPr>
        <w:t>.</w:t>
      </w:r>
      <w:r w:rsidR="00FE5EE9">
        <w:rPr>
          <w:rFonts w:ascii="Arial" w:hAnsi="Arial"/>
          <w:sz w:val="24"/>
        </w:rPr>
        <w:t>2</w:t>
      </w:r>
      <w:r w:rsidR="008A391F">
        <w:rPr>
          <w:rFonts w:ascii="Arial" w:hAnsi="Arial"/>
          <w:sz w:val="24"/>
        </w:rPr>
        <w:t>3</w:t>
      </w:r>
      <w:r w:rsidR="006B0E0F">
        <w:rPr>
          <w:rFonts w:ascii="Arial" w:hAnsi="Arial"/>
          <w:sz w:val="24"/>
        </w:rPr>
        <w:t>.</w:t>
      </w:r>
      <w:r w:rsidR="00560D4B">
        <w:rPr>
          <w:rFonts w:ascii="Arial" w:hAnsi="Arial"/>
          <w:sz w:val="24"/>
        </w:rPr>
        <w:t>2.</w:t>
      </w:r>
      <w:r w:rsidR="00CE5C29">
        <w:rPr>
          <w:rFonts w:ascii="Arial" w:hAnsi="Arial"/>
          <w:sz w:val="24"/>
        </w:rPr>
        <w:t>2</w:t>
      </w:r>
    </w:p>
    <w:p w14:paraId="777EF737" w14:textId="77777777" w:rsidR="00A37CEF" w:rsidRPr="00785E35" w:rsidRDefault="00A37CEF" w:rsidP="002A0877">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5CDEEF4A" w14:textId="1A76351E" w:rsidR="00A37CEF" w:rsidRPr="00785E35" w:rsidRDefault="00A37CEF" w:rsidP="002A0877">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82C3B">
        <w:rPr>
          <w:rFonts w:ascii="Arial" w:hAnsi="Arial"/>
          <w:sz w:val="24"/>
        </w:rPr>
        <w:t xml:space="preserve">Views on </w:t>
      </w:r>
      <w:r w:rsidR="006F730F">
        <w:rPr>
          <w:rFonts w:ascii="Arial" w:hAnsi="Arial"/>
          <w:sz w:val="24"/>
        </w:rPr>
        <w:t>existing BS RF requirements</w:t>
      </w:r>
      <w:r w:rsidR="007E49C0">
        <w:rPr>
          <w:rFonts w:ascii="Arial" w:hAnsi="Arial"/>
          <w:sz w:val="24"/>
        </w:rPr>
        <w:t xml:space="preserve"> for </w:t>
      </w:r>
      <w:r w:rsidR="006F730F">
        <w:rPr>
          <w:rFonts w:ascii="Arial" w:hAnsi="Arial"/>
          <w:sz w:val="24"/>
        </w:rPr>
        <w:t>SBFD</w:t>
      </w:r>
    </w:p>
    <w:p w14:paraId="6F8EE2E4" w14:textId="2FD7F559" w:rsidR="00A37CEF" w:rsidRPr="00785E35" w:rsidRDefault="00A37CEF" w:rsidP="002A0877">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00705014">
        <w:rPr>
          <w:rFonts w:ascii="Arial" w:hAnsi="Arial"/>
          <w:sz w:val="24"/>
        </w:rPr>
        <w:t>Approval</w:t>
      </w:r>
      <w:r w:rsidR="00E02445">
        <w:rPr>
          <w:rFonts w:ascii="Arial" w:hAnsi="Arial"/>
          <w:sz w:val="24"/>
        </w:rPr>
        <w:t xml:space="preserve"> </w:t>
      </w:r>
    </w:p>
    <w:p w14:paraId="57A32C14" w14:textId="77777777" w:rsidR="00A37CEF" w:rsidRPr="00785E35" w:rsidRDefault="00A37CEF" w:rsidP="002A0877">
      <w:pPr>
        <w:pStyle w:val="Heading1"/>
        <w:jc w:val="both"/>
      </w:pPr>
      <w:bookmarkStart w:id="4" w:name="_Ref465963108"/>
      <w:r w:rsidRPr="00785E35">
        <w:t>Introduction</w:t>
      </w:r>
      <w:bookmarkEnd w:id="1"/>
      <w:bookmarkEnd w:id="4"/>
    </w:p>
    <w:p w14:paraId="16D1D869" w14:textId="400BAE13" w:rsidR="00A37CEF" w:rsidRPr="005C6CB9" w:rsidRDefault="00A37CEF" w:rsidP="002A0877">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2A0877">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23172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2A0877">
      <w:pPr>
        <w:jc w:val="both"/>
      </w:pPr>
    </w:p>
    <w:p w14:paraId="6556B6C7" w14:textId="1400CC01" w:rsidR="00A37CEF" w:rsidRDefault="003B2119" w:rsidP="002A0877">
      <w:pPr>
        <w:jc w:val="both"/>
      </w:pPr>
      <w:r>
        <w:t>In RAN4#1</w:t>
      </w:r>
      <w:r w:rsidR="008A391F">
        <w:t>13</w:t>
      </w:r>
      <w:r>
        <w:t xml:space="preserve">, a WF was agreed in [3] based on some of the topics listed in the moderator summary, that is summarized in [2]. In this contribution, </w:t>
      </w:r>
      <w:r w:rsidR="00A37CEF">
        <w:t xml:space="preserve">we </w:t>
      </w:r>
      <w:r w:rsidR="00EB7153">
        <w:t xml:space="preserve">share our views on </w:t>
      </w:r>
      <w:r w:rsidR="002E21FA">
        <w:t xml:space="preserve">existing BS RF requirements </w:t>
      </w:r>
      <w:r w:rsidR="00EF49CD">
        <w:t xml:space="preserve">for Rel-19 SBFD. </w:t>
      </w:r>
    </w:p>
    <w:p w14:paraId="7ACEA9AF" w14:textId="18116DF3" w:rsidR="00D15EE0" w:rsidRDefault="00D15EE0" w:rsidP="00D15EE0">
      <w:pPr>
        <w:pStyle w:val="Heading1"/>
      </w:pPr>
      <w:r>
        <w:t xml:space="preserve">Discussion </w:t>
      </w:r>
    </w:p>
    <w:p w14:paraId="1E1B9BFC" w14:textId="5BCB1D53" w:rsidR="00543C13" w:rsidRDefault="008D31CC" w:rsidP="00D15EE0">
      <w:pPr>
        <w:pStyle w:val="Heading2"/>
      </w:pPr>
      <w:r>
        <w:t>Unwanted emissions</w:t>
      </w:r>
    </w:p>
    <w:p w14:paraId="70D08469" w14:textId="77777777" w:rsidR="00767151" w:rsidRDefault="00767151" w:rsidP="0091595A">
      <w:pPr>
        <w:jc w:val="both"/>
        <w:rPr>
          <w:lang w:val="en-GB"/>
        </w:rPr>
      </w:pPr>
      <w:r>
        <w:rPr>
          <w:lang w:val="en-GB"/>
        </w:rPr>
        <w:t xml:space="preserve">In [2], the following was agreed: </w:t>
      </w:r>
    </w:p>
    <w:tbl>
      <w:tblPr>
        <w:tblStyle w:val="TableGrid"/>
        <w:tblW w:w="0" w:type="auto"/>
        <w:tblLook w:val="04A0" w:firstRow="1" w:lastRow="0" w:firstColumn="1" w:lastColumn="0" w:noHBand="0" w:noVBand="1"/>
      </w:tblPr>
      <w:tblGrid>
        <w:gridCol w:w="9962"/>
      </w:tblGrid>
      <w:tr w:rsidR="00767151" w14:paraId="1F1620A4" w14:textId="77777777" w:rsidTr="00767151">
        <w:tc>
          <w:tcPr>
            <w:tcW w:w="9962" w:type="dxa"/>
          </w:tcPr>
          <w:p w14:paraId="5B066323" w14:textId="5813347F" w:rsidR="00767151" w:rsidRPr="001F6E68" w:rsidRDefault="001F6E68" w:rsidP="001F6E68">
            <w:pPr>
              <w:pStyle w:val="ListParagraph"/>
              <w:numPr>
                <w:ilvl w:val="0"/>
                <w:numId w:val="30"/>
              </w:numPr>
              <w:overflowPunct w:val="0"/>
              <w:autoSpaceDE w:val="0"/>
              <w:autoSpaceDN w:val="0"/>
              <w:adjustRightInd w:val="0"/>
              <w:spacing w:after="180"/>
              <w:textAlignment w:val="baseline"/>
              <w:rPr>
                <w:rFonts w:ascii="Times New Roman" w:hAnsi="Times New Roman"/>
                <w:sz w:val="20"/>
                <w:szCs w:val="20"/>
              </w:rPr>
            </w:pPr>
            <w:r w:rsidRPr="001F6E68">
              <w:rPr>
                <w:rFonts w:ascii="Times New Roman" w:hAnsi="Times New Roman"/>
                <w:sz w:val="20"/>
                <w:szCs w:val="20"/>
              </w:rPr>
              <w:t>FFS whether/how to introduce the additional ACLR and/or OBUE requirements for FR1 WA BS.</w:t>
            </w:r>
          </w:p>
        </w:tc>
      </w:tr>
    </w:tbl>
    <w:p w14:paraId="5A30BD21" w14:textId="2920F7D6" w:rsidR="00516597" w:rsidRPr="00516597" w:rsidRDefault="00516597" w:rsidP="0091595A">
      <w:pPr>
        <w:jc w:val="both"/>
        <w:rPr>
          <w:b/>
          <w:bCs/>
          <w:lang w:val="en-GB"/>
        </w:rPr>
      </w:pPr>
      <w:r w:rsidRPr="00516597">
        <w:rPr>
          <w:b/>
          <w:bCs/>
          <w:lang w:val="en-GB"/>
        </w:rPr>
        <w:t xml:space="preserve"> </w:t>
      </w:r>
    </w:p>
    <w:p w14:paraId="0F81D010" w14:textId="739F207C" w:rsidR="008F1778" w:rsidRPr="00A12CCE" w:rsidRDefault="002137C2" w:rsidP="00DF5371">
      <w:pPr>
        <w:spacing w:before="120"/>
        <w:jc w:val="both"/>
        <w:rPr>
          <w:b/>
          <w:bCs/>
          <w:lang w:val="en-GB"/>
        </w:rPr>
      </w:pPr>
      <w:r>
        <w:rPr>
          <w:lang w:val="en-GB"/>
        </w:rPr>
        <w:t xml:space="preserve">In Section 11 in </w:t>
      </w:r>
      <w:r w:rsidR="00491558">
        <w:rPr>
          <w:lang w:val="en-GB"/>
        </w:rPr>
        <w:t>TR 38.858</w:t>
      </w:r>
      <w:r>
        <w:rPr>
          <w:lang w:val="en-GB"/>
        </w:rPr>
        <w:t xml:space="preserve">, RAN4 has concluded that outcome of the SBFD and legacy TDD adjacent channel coexistence. </w:t>
      </w:r>
      <w:r w:rsidR="00A227D7">
        <w:rPr>
          <w:lang w:val="en-GB"/>
        </w:rPr>
        <w:t xml:space="preserve">The SBFD-to-SBFD coexistence case was not investigated since there are no SBFD deployments </w:t>
      </w:r>
      <w:r w:rsidR="00DF5371">
        <w:rPr>
          <w:lang w:val="en-GB"/>
        </w:rPr>
        <w:t>prior to Rel-19. However, from coexistence point of view, the impact of the inter-</w:t>
      </w:r>
      <w:r w:rsidR="001143AD">
        <w:rPr>
          <w:lang w:val="en-GB"/>
        </w:rPr>
        <w:t>BS</w:t>
      </w:r>
      <w:r w:rsidR="00DF5371">
        <w:rPr>
          <w:lang w:val="en-GB"/>
        </w:rPr>
        <w:t xml:space="preserve"> CLI on the UL subband at the SBFD capable </w:t>
      </w:r>
      <w:r w:rsidR="001143AD">
        <w:rPr>
          <w:lang w:val="en-GB"/>
        </w:rPr>
        <w:t>BS</w:t>
      </w:r>
      <w:r w:rsidR="00DF5371">
        <w:rPr>
          <w:lang w:val="en-GB"/>
        </w:rPr>
        <w:t xml:space="preserve"> </w:t>
      </w:r>
      <w:r w:rsidR="00A03C8D">
        <w:rPr>
          <w:lang w:val="en-GB"/>
        </w:rPr>
        <w:t xml:space="preserve">that coexists with another SBFD </w:t>
      </w:r>
      <w:r w:rsidR="001143AD">
        <w:rPr>
          <w:lang w:val="en-GB"/>
        </w:rPr>
        <w:t>BS</w:t>
      </w:r>
      <w:r w:rsidR="00A03C8D">
        <w:rPr>
          <w:lang w:val="en-GB"/>
        </w:rPr>
        <w:t xml:space="preserve"> will be similar to the impact of the legacy TDD DL on UL subband of an SBFD-capable </w:t>
      </w:r>
      <w:r w:rsidR="001143AD">
        <w:rPr>
          <w:lang w:val="en-GB"/>
        </w:rPr>
        <w:t>BS</w:t>
      </w:r>
      <w:r w:rsidR="00A03C8D">
        <w:rPr>
          <w:lang w:val="en-GB"/>
        </w:rPr>
        <w:t xml:space="preserve">. </w:t>
      </w:r>
      <w:r w:rsidR="00250F42">
        <w:rPr>
          <w:lang w:val="en-GB"/>
        </w:rPr>
        <w:t xml:space="preserve">To </w:t>
      </w:r>
      <w:r w:rsidR="00012E5E">
        <w:rPr>
          <w:lang w:val="en-GB"/>
        </w:rPr>
        <w:t>address the inter-</w:t>
      </w:r>
      <w:r w:rsidR="001143AD">
        <w:rPr>
          <w:lang w:val="en-GB"/>
        </w:rPr>
        <w:t>BS</w:t>
      </w:r>
      <w:r w:rsidR="00012E5E">
        <w:rPr>
          <w:lang w:val="en-GB"/>
        </w:rPr>
        <w:t xml:space="preserve"> CLI, RAN4 has studied only ACIR enhancements as a solution to ensure feasible coexistence. </w:t>
      </w:r>
    </w:p>
    <w:p w14:paraId="0AFEA166" w14:textId="49F1F542" w:rsidR="002137C2" w:rsidRDefault="00A12CCE" w:rsidP="0091595A">
      <w:pPr>
        <w:jc w:val="both"/>
        <w:rPr>
          <w:rFonts w:eastAsiaTheme="minorEastAsia"/>
          <w:lang w:eastAsia="zh-CN"/>
        </w:rPr>
      </w:pPr>
      <w:r>
        <w:rPr>
          <w:rFonts w:eastAsiaTheme="minorEastAsia"/>
          <w:lang w:eastAsia="zh-CN"/>
        </w:rPr>
        <w:t xml:space="preserve">On the other hand, </w:t>
      </w:r>
      <w:r w:rsidR="00B42584">
        <w:rPr>
          <w:rFonts w:eastAsiaTheme="minorEastAsia"/>
          <w:lang w:eastAsia="zh-CN"/>
        </w:rPr>
        <w:t>f</w:t>
      </w:r>
      <w:r w:rsidR="002137C2">
        <w:rPr>
          <w:rFonts w:eastAsiaTheme="minorEastAsia"/>
          <w:lang w:eastAsia="zh-CN"/>
        </w:rPr>
        <w:t xml:space="preserve">or the </w:t>
      </w:r>
      <w:r w:rsidR="006E4349">
        <w:rPr>
          <w:rFonts w:eastAsiaTheme="minorEastAsia"/>
          <w:lang w:eastAsia="zh-CN"/>
        </w:rPr>
        <w:t xml:space="preserve">coexistence case </w:t>
      </w:r>
      <w:r w:rsidR="002137C2">
        <w:rPr>
          <w:rFonts w:eastAsiaTheme="minorEastAsia"/>
          <w:lang w:eastAsia="zh-CN"/>
        </w:rPr>
        <w:t xml:space="preserve">with </w:t>
      </w:r>
      <w:r w:rsidR="001143AD">
        <w:rPr>
          <w:rFonts w:eastAsiaTheme="minorEastAsia"/>
          <w:lang w:eastAsia="zh-CN"/>
        </w:rPr>
        <w:t>BS</w:t>
      </w:r>
      <w:r w:rsidR="006E4349">
        <w:rPr>
          <w:rFonts w:eastAsiaTheme="minorEastAsia"/>
          <w:lang w:eastAsia="zh-CN"/>
        </w:rPr>
        <w:t xml:space="preserve">-capable </w:t>
      </w:r>
      <w:r w:rsidR="002137C2">
        <w:rPr>
          <w:rFonts w:eastAsiaTheme="minorEastAsia"/>
          <w:lang w:eastAsia="zh-CN"/>
        </w:rPr>
        <w:t xml:space="preserve">SBFD BS in the adjacent channel, RAN4 </w:t>
      </w:r>
      <w:r w:rsidR="006E4349">
        <w:rPr>
          <w:rFonts w:eastAsiaTheme="minorEastAsia"/>
          <w:lang w:eastAsia="zh-CN"/>
        </w:rPr>
        <w:t>has identified coexistence challenges due to inter-</w:t>
      </w:r>
      <w:r w:rsidR="001143AD">
        <w:rPr>
          <w:rFonts w:eastAsiaTheme="minorEastAsia"/>
          <w:lang w:eastAsia="zh-CN"/>
        </w:rPr>
        <w:t>BS</w:t>
      </w:r>
      <w:r w:rsidR="006E4349">
        <w:rPr>
          <w:rFonts w:eastAsiaTheme="minorEastAsia"/>
          <w:lang w:eastAsia="zh-CN"/>
        </w:rPr>
        <w:t xml:space="preserve"> CLI</w:t>
      </w:r>
      <w:r w:rsidR="00176A56">
        <w:rPr>
          <w:rFonts w:eastAsiaTheme="minorEastAsia"/>
          <w:lang w:eastAsia="zh-CN"/>
        </w:rPr>
        <w:t xml:space="preserve"> on the UL </w:t>
      </w:r>
      <w:r w:rsidR="00DA4E76">
        <w:rPr>
          <w:rFonts w:eastAsiaTheme="minorEastAsia"/>
          <w:lang w:eastAsia="zh-CN"/>
        </w:rPr>
        <w:t>subband</w:t>
      </w:r>
      <w:r w:rsidR="00176A56">
        <w:rPr>
          <w:rFonts w:eastAsiaTheme="minorEastAsia"/>
          <w:lang w:eastAsia="zh-CN"/>
        </w:rPr>
        <w:t xml:space="preserve">. Within the SI phase, </w:t>
      </w:r>
      <w:r w:rsidR="00ED2FC1">
        <w:rPr>
          <w:rFonts w:eastAsiaTheme="minorEastAsia"/>
          <w:lang w:eastAsia="zh-CN"/>
        </w:rPr>
        <w:t xml:space="preserve">RAN4 has considered only ACIR enhancements as a solution to ensure </w:t>
      </w:r>
      <w:r w:rsidR="00460D91">
        <w:rPr>
          <w:rFonts w:eastAsiaTheme="minorEastAsia"/>
          <w:lang w:eastAsia="zh-CN"/>
        </w:rPr>
        <w:t xml:space="preserve">feasible coexistence. </w:t>
      </w:r>
    </w:p>
    <w:p w14:paraId="55C94CAB" w14:textId="555E439A" w:rsidR="000C5F0B" w:rsidRPr="00A12CCE" w:rsidRDefault="000C5F0B" w:rsidP="0091595A">
      <w:pPr>
        <w:jc w:val="both"/>
        <w:rPr>
          <w:b/>
          <w:bCs/>
          <w:lang w:val="en-GB"/>
        </w:rPr>
      </w:pPr>
      <w:r w:rsidRPr="00A12CCE">
        <w:rPr>
          <w:b/>
          <w:bCs/>
          <w:u w:val="single"/>
          <w:lang w:val="en-GB"/>
        </w:rPr>
        <w:t xml:space="preserve">Observation </w:t>
      </w:r>
      <w:r w:rsidR="0092718D">
        <w:rPr>
          <w:b/>
          <w:bCs/>
          <w:u w:val="single"/>
          <w:lang w:val="en-GB"/>
        </w:rPr>
        <w:t>1</w:t>
      </w:r>
      <w:r w:rsidRPr="00A12CCE">
        <w:rPr>
          <w:b/>
          <w:bCs/>
          <w:lang w:val="en-GB"/>
        </w:rPr>
        <w:t xml:space="preserve">: </w:t>
      </w:r>
      <w:r>
        <w:rPr>
          <w:b/>
          <w:bCs/>
          <w:lang w:val="en-GB"/>
        </w:rPr>
        <w:t xml:space="preserve">When coexisting with SBFD-capable </w:t>
      </w:r>
      <w:r w:rsidR="001143AD">
        <w:rPr>
          <w:b/>
          <w:bCs/>
          <w:lang w:val="en-GB"/>
        </w:rPr>
        <w:t>BS</w:t>
      </w:r>
      <w:r>
        <w:rPr>
          <w:b/>
          <w:bCs/>
          <w:lang w:val="en-GB"/>
        </w:rPr>
        <w:t xml:space="preserve">, legacy ACLR requirement might not be sufficient to ensure feasible coexistence. Additionally, RAN4 has only considered ACIR enhancement as a possible solution during the SI phase. </w:t>
      </w:r>
    </w:p>
    <w:p w14:paraId="276CBA8F" w14:textId="0C9F0DF8" w:rsidR="002137C2" w:rsidRDefault="00B93F55" w:rsidP="0091595A">
      <w:pPr>
        <w:jc w:val="both"/>
        <w:rPr>
          <w:rFonts w:eastAsiaTheme="minorEastAsia"/>
          <w:lang w:eastAsia="zh-CN"/>
        </w:rPr>
      </w:pPr>
      <w:r>
        <w:rPr>
          <w:rFonts w:eastAsiaTheme="minorEastAsia"/>
          <w:lang w:eastAsia="zh-CN"/>
        </w:rPr>
        <w:t>As a way forward, it is viable to consider urban macro deployment since it is the most challenging deployment scenario</w:t>
      </w:r>
      <w:r w:rsidR="00633573">
        <w:rPr>
          <w:rFonts w:eastAsiaTheme="minorEastAsia"/>
          <w:lang w:eastAsia="zh-CN"/>
        </w:rPr>
        <w:t xml:space="preserve">. </w:t>
      </w:r>
      <w:r w:rsidR="007354CE">
        <w:rPr>
          <w:rFonts w:eastAsiaTheme="minorEastAsia"/>
          <w:lang w:eastAsia="zh-CN"/>
        </w:rPr>
        <w:t xml:space="preserve">RAN4 then should consider a </w:t>
      </w:r>
      <w:r w:rsidR="00191713">
        <w:rPr>
          <w:rFonts w:eastAsiaTheme="minorEastAsia"/>
          <w:lang w:eastAsia="zh-CN"/>
        </w:rPr>
        <w:t xml:space="preserve">case where additional new ACLR requirement is considered to allow feasible coexistence with new SBFD-capable </w:t>
      </w:r>
      <w:r w:rsidR="001143AD">
        <w:rPr>
          <w:rFonts w:eastAsiaTheme="minorEastAsia"/>
          <w:lang w:eastAsia="zh-CN"/>
        </w:rPr>
        <w:t>BS</w:t>
      </w:r>
      <w:r w:rsidR="00CA463A">
        <w:rPr>
          <w:rFonts w:eastAsiaTheme="minorEastAsia"/>
          <w:lang w:eastAsia="zh-CN"/>
        </w:rPr>
        <w:t xml:space="preserve"> while assuming 1 dB desensitization</w:t>
      </w:r>
      <w:r w:rsidR="00191713">
        <w:rPr>
          <w:rFonts w:eastAsiaTheme="minorEastAsia"/>
          <w:lang w:eastAsia="zh-CN"/>
        </w:rPr>
        <w:t xml:space="preserve">. </w:t>
      </w:r>
    </w:p>
    <w:p w14:paraId="2B8B022A" w14:textId="29B35099" w:rsidR="00DD4AB6" w:rsidRDefault="00666011" w:rsidP="0091595A">
      <w:pPr>
        <w:jc w:val="both"/>
        <w:rPr>
          <w:rFonts w:eastAsiaTheme="minorEastAsia"/>
          <w:b/>
          <w:bCs/>
          <w:lang w:eastAsia="zh-CN"/>
        </w:rPr>
      </w:pPr>
      <w:r w:rsidRPr="00666011">
        <w:rPr>
          <w:rFonts w:eastAsiaTheme="minorEastAsia"/>
          <w:b/>
          <w:bCs/>
          <w:u w:val="single"/>
          <w:lang w:eastAsia="zh-CN"/>
        </w:rPr>
        <w:lastRenderedPageBreak/>
        <w:t>Proposal 1</w:t>
      </w:r>
      <w:r w:rsidRPr="00666011">
        <w:rPr>
          <w:rFonts w:eastAsiaTheme="minorEastAsia"/>
          <w:b/>
          <w:bCs/>
          <w:lang w:eastAsia="zh-CN"/>
        </w:rPr>
        <w:t>: RAN4 to consider</w:t>
      </w:r>
      <w:r w:rsidR="00460339">
        <w:rPr>
          <w:rFonts w:eastAsiaTheme="minorEastAsia"/>
          <w:b/>
          <w:bCs/>
          <w:lang w:eastAsia="zh-CN"/>
        </w:rPr>
        <w:t xml:space="preserve"> </w:t>
      </w:r>
      <w:r w:rsidR="00460339" w:rsidRPr="00666011">
        <w:rPr>
          <w:rFonts w:eastAsiaTheme="minorEastAsia"/>
          <w:b/>
          <w:bCs/>
          <w:lang w:eastAsia="zh-CN"/>
        </w:rPr>
        <w:t>additional</w:t>
      </w:r>
      <w:r w:rsidRPr="00666011">
        <w:rPr>
          <w:rFonts w:eastAsiaTheme="minorEastAsia"/>
          <w:b/>
          <w:bCs/>
          <w:lang w:eastAsia="zh-CN"/>
        </w:rPr>
        <w:t xml:space="preserve"> ACLR requirement </w:t>
      </w:r>
      <w:r w:rsidR="00A84824">
        <w:rPr>
          <w:rFonts w:eastAsiaTheme="minorEastAsia"/>
          <w:b/>
          <w:bCs/>
          <w:lang w:eastAsia="zh-CN"/>
        </w:rPr>
        <w:t xml:space="preserve">assuming 1 dB desensitization </w:t>
      </w:r>
      <w:r w:rsidRPr="00666011">
        <w:rPr>
          <w:rFonts w:eastAsiaTheme="minorEastAsia"/>
          <w:b/>
          <w:bCs/>
          <w:lang w:eastAsia="zh-CN"/>
        </w:rPr>
        <w:t xml:space="preserve">to ensure feasible coexistence with SBFD-capable gNB. As a starting point, urban macro deployments should be considered </w:t>
      </w:r>
      <w:r w:rsidR="006D4D35" w:rsidRPr="00666011">
        <w:rPr>
          <w:rFonts w:eastAsiaTheme="minorEastAsia"/>
          <w:b/>
          <w:bCs/>
          <w:lang w:eastAsia="zh-CN"/>
        </w:rPr>
        <w:t>as representing</w:t>
      </w:r>
      <w:r w:rsidRPr="00666011">
        <w:rPr>
          <w:rFonts w:eastAsiaTheme="minorEastAsia"/>
          <w:b/>
          <w:bCs/>
          <w:lang w:eastAsia="zh-CN"/>
        </w:rPr>
        <w:t xml:space="preserve"> the challenging scenario. </w:t>
      </w:r>
    </w:p>
    <w:p w14:paraId="3AAEBEEB" w14:textId="77777777" w:rsidR="006D4D35" w:rsidRDefault="00DF762E" w:rsidP="006D4D35">
      <w:pPr>
        <w:jc w:val="both"/>
        <w:rPr>
          <w:rFonts w:eastAsiaTheme="minorEastAsia"/>
          <w:b/>
          <w:bCs/>
          <w:lang w:eastAsia="zh-CN"/>
        </w:rPr>
      </w:pPr>
      <w:r>
        <w:rPr>
          <w:rFonts w:eastAsiaTheme="minorEastAsia"/>
          <w:lang w:eastAsia="zh-CN"/>
        </w:rPr>
        <w:t>Relying</w:t>
      </w:r>
      <w:r w:rsidR="006258BD">
        <w:rPr>
          <w:rFonts w:eastAsiaTheme="minorEastAsia"/>
          <w:lang w:eastAsia="zh-CN"/>
        </w:rPr>
        <w:t xml:space="preserve"> on </w:t>
      </w:r>
      <w:r w:rsidR="006258BD" w:rsidRPr="006F6280">
        <w:t>proprietary</w:t>
      </w:r>
      <w:r w:rsidR="006258BD">
        <w:t xml:space="preserve"> solutions to address the SBFD-to-SBFD coexistence</w:t>
      </w:r>
      <w:r>
        <w:t xml:space="preserve"> is questionable at this stage, since RAN4 has agreed in RAN4#113 to introduce new in-channel inter-subband leakage and blocking, which are new requirements intra-operator to address inter-gNB CLI. </w:t>
      </w:r>
    </w:p>
    <w:p w14:paraId="749E8EE4" w14:textId="47143005" w:rsidR="006D4D35" w:rsidRDefault="006D4D35" w:rsidP="006D4D35">
      <w:pPr>
        <w:jc w:val="both"/>
        <w:rPr>
          <w:rFonts w:eastAsiaTheme="minorEastAsia"/>
          <w:b/>
          <w:bCs/>
          <w:lang w:eastAsia="zh-CN"/>
        </w:rPr>
      </w:pPr>
      <w:r w:rsidRPr="00460339">
        <w:rPr>
          <w:rFonts w:eastAsiaTheme="minorEastAsia"/>
          <w:b/>
          <w:bCs/>
          <w:u w:val="single"/>
          <w:lang w:eastAsia="zh-CN"/>
        </w:rPr>
        <w:t>Proposal 2</w:t>
      </w:r>
      <w:r>
        <w:rPr>
          <w:rFonts w:eastAsiaTheme="minorEastAsia"/>
          <w:b/>
          <w:bCs/>
          <w:lang w:eastAsia="zh-CN"/>
        </w:rPr>
        <w:t xml:space="preserve">: Given that RAN4 agreed to introduce new in-channel inter-subband leakage and blocking requirements, it should not be excluded to introduce new additional OBUE requirements for inter-SBFD inter-operator coexistence. Relying on a proprietary solution for such a deployment scenario might not be feasible. </w:t>
      </w:r>
    </w:p>
    <w:p w14:paraId="267D795D" w14:textId="1659BD95" w:rsidR="00912CDC" w:rsidRPr="00A2326C" w:rsidRDefault="00912CDC" w:rsidP="00A2326C">
      <w:pPr>
        <w:pStyle w:val="Heading1"/>
        <w:rPr>
          <w:b/>
          <w:u w:val="single"/>
          <w:lang w:eastAsia="ko-KR"/>
        </w:rPr>
      </w:pPr>
      <w:r>
        <w:rPr>
          <w:rFonts w:cs="Arial"/>
          <w:color w:val="000000" w:themeColor="text1"/>
          <w:szCs w:val="36"/>
          <w:lang w:val="en-US"/>
        </w:rPr>
        <w:t>In-band blocking</w:t>
      </w:r>
    </w:p>
    <w:p w14:paraId="1E058FED" w14:textId="5716C089" w:rsidR="00681805" w:rsidRDefault="00681805" w:rsidP="008C6339">
      <w:r>
        <w:t>In [2], the following was agreed:</w:t>
      </w:r>
    </w:p>
    <w:tbl>
      <w:tblPr>
        <w:tblStyle w:val="TableGrid"/>
        <w:tblW w:w="0" w:type="auto"/>
        <w:tblLook w:val="04A0" w:firstRow="1" w:lastRow="0" w:firstColumn="1" w:lastColumn="0" w:noHBand="0" w:noVBand="1"/>
      </w:tblPr>
      <w:tblGrid>
        <w:gridCol w:w="9962"/>
      </w:tblGrid>
      <w:tr w:rsidR="00681805" w14:paraId="6DED9AC1" w14:textId="77777777" w:rsidTr="00681805">
        <w:tc>
          <w:tcPr>
            <w:tcW w:w="9962" w:type="dxa"/>
          </w:tcPr>
          <w:p w14:paraId="51638CDB" w14:textId="77777777" w:rsidR="003A2CFD" w:rsidRPr="003A2CFD" w:rsidRDefault="003A2CFD" w:rsidP="003A2CFD">
            <w:pPr>
              <w:pStyle w:val="ListParagraph"/>
              <w:numPr>
                <w:ilvl w:val="0"/>
                <w:numId w:val="35"/>
              </w:numPr>
              <w:spacing w:after="120" w:line="259" w:lineRule="auto"/>
              <w:rPr>
                <w:rFonts w:ascii="Times New Roman" w:hAnsi="Times New Roman"/>
                <w:sz w:val="20"/>
                <w:szCs w:val="20"/>
              </w:rPr>
            </w:pPr>
            <w:r w:rsidRPr="003A2CFD">
              <w:rPr>
                <w:rFonts w:ascii="Times New Roman" w:hAnsi="Times New Roman"/>
                <w:sz w:val="20"/>
                <w:szCs w:val="20"/>
              </w:rPr>
              <w:t>For FR2 local area SBFD BS, re-use existing FR2 local area BS in-band blocking power requirements.</w:t>
            </w:r>
          </w:p>
          <w:p w14:paraId="731F9389" w14:textId="77777777" w:rsidR="003A2CFD" w:rsidRPr="003A2CFD" w:rsidRDefault="003A2CFD" w:rsidP="003A2CFD">
            <w:pPr>
              <w:pStyle w:val="ListParagraph"/>
              <w:numPr>
                <w:ilvl w:val="0"/>
                <w:numId w:val="35"/>
              </w:numPr>
              <w:spacing w:after="120" w:line="259" w:lineRule="auto"/>
              <w:rPr>
                <w:rFonts w:ascii="Times New Roman" w:hAnsi="Times New Roman"/>
                <w:sz w:val="20"/>
                <w:szCs w:val="20"/>
              </w:rPr>
            </w:pPr>
            <w:r w:rsidRPr="003A2CFD">
              <w:rPr>
                <w:rFonts w:ascii="Times New Roman" w:hAnsi="Times New Roman"/>
                <w:sz w:val="20"/>
                <w:szCs w:val="20"/>
              </w:rPr>
              <w:t xml:space="preserve">For FR1 WA BS, FFS following options. </w:t>
            </w:r>
          </w:p>
          <w:p w14:paraId="1D6BD0C7"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1: a unified blocking requirement to consider both scenarios</w:t>
            </w:r>
          </w:p>
          <w:p w14:paraId="4C352C3F"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2: separate requirements are defined</w:t>
            </w:r>
          </w:p>
          <w:p w14:paraId="2EEF5171" w14:textId="77777777" w:rsidR="003A2CFD" w:rsidRPr="003A2CFD" w:rsidRDefault="003A2CFD" w:rsidP="003A2CFD">
            <w:pPr>
              <w:pStyle w:val="ListParagraph"/>
              <w:numPr>
                <w:ilvl w:val="2"/>
                <w:numId w:val="35"/>
              </w:numPr>
              <w:spacing w:after="120" w:line="259" w:lineRule="auto"/>
              <w:rPr>
                <w:rFonts w:ascii="Times New Roman" w:hAnsi="Times New Roman"/>
                <w:sz w:val="20"/>
                <w:szCs w:val="20"/>
              </w:rPr>
            </w:pPr>
            <w:r w:rsidRPr="003A2CFD">
              <w:rPr>
                <w:rFonts w:ascii="Times New Roman" w:hAnsi="Times New Roman"/>
                <w:sz w:val="20"/>
                <w:szCs w:val="20"/>
              </w:rPr>
              <w:t xml:space="preserve">One set of requirements for coexisting with legacy TDD system in adjacent channel </w:t>
            </w:r>
          </w:p>
          <w:p w14:paraId="2E142CC0" w14:textId="77777777" w:rsidR="003A2CFD" w:rsidRPr="003A2CFD" w:rsidRDefault="003A2CFD" w:rsidP="003A2CFD">
            <w:pPr>
              <w:pStyle w:val="ListParagraph"/>
              <w:numPr>
                <w:ilvl w:val="2"/>
                <w:numId w:val="35"/>
              </w:numPr>
              <w:spacing w:after="120" w:line="259" w:lineRule="auto"/>
              <w:rPr>
                <w:rFonts w:ascii="Times New Roman" w:hAnsi="Times New Roman"/>
                <w:sz w:val="20"/>
                <w:szCs w:val="20"/>
              </w:rPr>
            </w:pPr>
            <w:r w:rsidRPr="003A2CFD">
              <w:rPr>
                <w:rFonts w:ascii="Times New Roman" w:hAnsi="Times New Roman"/>
                <w:sz w:val="20"/>
                <w:szCs w:val="20"/>
              </w:rPr>
              <w:t xml:space="preserve">One set of requirements for coexisting with new SBFD system in adjacent channel </w:t>
            </w:r>
          </w:p>
          <w:p w14:paraId="57058D47"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3: In-band blocking requirement is defined by manufacture declared level of interference in the specified range, which comes from the system-level evaluation (from 100% grid-shifting to 10% grid-shifting).</w:t>
            </w:r>
          </w:p>
          <w:p w14:paraId="0B09BA3B" w14:textId="77777777" w:rsidR="003A2CFD" w:rsidRPr="003A2CFD" w:rsidRDefault="003A2CFD" w:rsidP="003A2CFD">
            <w:pPr>
              <w:pStyle w:val="ListParagraph"/>
              <w:numPr>
                <w:ilvl w:val="0"/>
                <w:numId w:val="35"/>
              </w:numPr>
              <w:spacing w:after="120" w:line="259" w:lineRule="auto"/>
              <w:rPr>
                <w:rFonts w:ascii="Times New Roman" w:hAnsi="Times New Roman"/>
                <w:sz w:val="20"/>
                <w:szCs w:val="20"/>
              </w:rPr>
            </w:pPr>
            <w:r w:rsidRPr="003A2CFD">
              <w:rPr>
                <w:rFonts w:ascii="Times New Roman" w:hAnsi="Times New Roman"/>
                <w:sz w:val="20"/>
                <w:szCs w:val="20"/>
              </w:rPr>
              <w:t>For FR1 WA BS co-existence study, FFS what grid-shift value(s) should be considered.</w:t>
            </w:r>
          </w:p>
          <w:p w14:paraId="0F3A3052"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1: 10%</w:t>
            </w:r>
          </w:p>
          <w:p w14:paraId="465C66D2"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2: 20%</w:t>
            </w:r>
          </w:p>
          <w:p w14:paraId="61E1667F"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3: 50%</w:t>
            </w:r>
          </w:p>
          <w:p w14:paraId="1F25F8AB"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4: 100%</w:t>
            </w:r>
          </w:p>
          <w:p w14:paraId="0EC18C7E"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5: 5%</w:t>
            </w:r>
          </w:p>
          <w:p w14:paraId="3237857B"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6: 20% ~ 50%</w:t>
            </w:r>
          </w:p>
          <w:p w14:paraId="17089302" w14:textId="77777777" w:rsidR="003A2CFD" w:rsidRPr="003A2CFD" w:rsidRDefault="003A2CFD" w:rsidP="003A2CFD">
            <w:pPr>
              <w:pStyle w:val="ListParagraph"/>
              <w:numPr>
                <w:ilvl w:val="0"/>
                <w:numId w:val="35"/>
              </w:numPr>
              <w:spacing w:after="120" w:line="259" w:lineRule="auto"/>
              <w:rPr>
                <w:rFonts w:ascii="Times New Roman" w:hAnsi="Times New Roman"/>
                <w:sz w:val="20"/>
                <w:szCs w:val="20"/>
              </w:rPr>
            </w:pPr>
            <w:r w:rsidRPr="003A2CFD">
              <w:rPr>
                <w:rFonts w:ascii="Times New Roman" w:hAnsi="Times New Roman"/>
                <w:sz w:val="20"/>
                <w:szCs w:val="20"/>
              </w:rPr>
              <w:t>For FR2-1 WA SBFD BS, FFS following two options.</w:t>
            </w:r>
          </w:p>
          <w:p w14:paraId="3EFC669A" w14:textId="77777777" w:rsidR="003A2CFD" w:rsidRPr="003A2CFD" w:rsidRDefault="003A2CFD" w:rsidP="003A2CFD">
            <w:pPr>
              <w:pStyle w:val="ListParagraph"/>
              <w:numPr>
                <w:ilvl w:val="1"/>
                <w:numId w:val="35"/>
              </w:numPr>
              <w:spacing w:after="120" w:line="259" w:lineRule="auto"/>
              <w:rPr>
                <w:rFonts w:ascii="Times New Roman" w:hAnsi="Times New Roman"/>
                <w:sz w:val="20"/>
                <w:szCs w:val="20"/>
              </w:rPr>
            </w:pPr>
            <w:r w:rsidRPr="003A2CFD">
              <w:rPr>
                <w:rFonts w:ascii="Times New Roman" w:hAnsi="Times New Roman"/>
                <w:sz w:val="20"/>
                <w:szCs w:val="20"/>
              </w:rPr>
              <w:t>Option 1: The current FR2-1 WA BS in-band blocking requirements can be re-used</w:t>
            </w:r>
          </w:p>
          <w:p w14:paraId="7717FA63" w14:textId="73F90898" w:rsidR="00681805" w:rsidRDefault="003A2CFD" w:rsidP="003A2CFD">
            <w:r w:rsidRPr="003A2CFD">
              <w:t>Option 2: Define in-band blocking interferer signal power to -23 dBm</w:t>
            </w:r>
          </w:p>
        </w:tc>
      </w:tr>
    </w:tbl>
    <w:p w14:paraId="565E59D1" w14:textId="77777777" w:rsidR="00681805" w:rsidRDefault="00681805" w:rsidP="008C6339"/>
    <w:p w14:paraId="1EE4035C" w14:textId="0D99B615" w:rsidR="008C6339" w:rsidRDefault="008C6339" w:rsidP="008C6339">
      <w:r>
        <w:t>In our previous contribution (</w:t>
      </w:r>
      <w:r w:rsidRPr="009B4A23">
        <w:t>R4-2415468</w:t>
      </w:r>
      <w:r>
        <w:t>), we have provided our in-band blocking requirement for 50% GS around -26 dB, considering AAS configuration considering two panels with 46 dBm conducted power per polarization. Given that there are difference in the underlying assumptions among companies within RAN4 and given that the main source of higher values for the in-band blocking stem from the inter-gNB CLI. It is preferable that RAN4 decouples the in-band requirements for coexistence with legacy TDD and coexistence with SBFD deployments. Such a decoupling of requirements can be implemented via defining different in-band blocking requirements and different declarations for the different levels.</w:t>
      </w:r>
      <w:r w:rsidR="0099574F">
        <w:t xml:space="preserve"> In this regard, we support option 2. In addition, due to the dependency of the in-band blocking value on the underlying assumptions, and especially the grid shift and Tx power assumptions, option 3 </w:t>
      </w:r>
      <w:r w:rsidR="00960B62">
        <w:t>is also a valid way forward. The rationale there that, similar to the study phase, converging on a single set of parameters among the companies within RAN4 might be difficult.</w:t>
      </w:r>
      <w:r w:rsidR="0024056C">
        <w:t xml:space="preserve"> </w:t>
      </w:r>
    </w:p>
    <w:p w14:paraId="1AEA058F" w14:textId="36CF9FF8" w:rsidR="008C6339" w:rsidRPr="00460339" w:rsidRDefault="008C6339" w:rsidP="00460339">
      <w:pPr>
        <w:rPr>
          <w:b/>
          <w:bCs/>
          <w:lang w:eastAsia="ja-JP"/>
        </w:rPr>
      </w:pPr>
      <w:r w:rsidRPr="00DF583B">
        <w:rPr>
          <w:b/>
          <w:bCs/>
          <w:u w:val="single"/>
        </w:rPr>
        <w:lastRenderedPageBreak/>
        <w:t xml:space="preserve">Proposal </w:t>
      </w:r>
      <w:r w:rsidR="00460339">
        <w:rPr>
          <w:b/>
          <w:bCs/>
          <w:u w:val="single"/>
        </w:rPr>
        <w:t>3</w:t>
      </w:r>
      <w:r w:rsidRPr="00DF583B">
        <w:rPr>
          <w:b/>
          <w:bCs/>
        </w:rPr>
        <w:t xml:space="preserve">: RAN4 to consider </w:t>
      </w:r>
      <w:r w:rsidR="0024056C">
        <w:rPr>
          <w:b/>
          <w:bCs/>
        </w:rPr>
        <w:t>option 2</w:t>
      </w:r>
      <w:r w:rsidR="00460339">
        <w:rPr>
          <w:b/>
          <w:bCs/>
        </w:rPr>
        <w:t xml:space="preserve"> for FR1 WA BS</w:t>
      </w:r>
      <w:r w:rsidR="0024056C">
        <w:rPr>
          <w:b/>
          <w:bCs/>
        </w:rPr>
        <w:t xml:space="preserve">, where </w:t>
      </w:r>
      <w:r w:rsidR="00460339" w:rsidRPr="00460339">
        <w:rPr>
          <w:b/>
          <w:bCs/>
        </w:rPr>
        <w:t>separate requirements are defined</w:t>
      </w:r>
      <w:r w:rsidR="00460339">
        <w:rPr>
          <w:b/>
          <w:bCs/>
        </w:rPr>
        <w:t xml:space="preserve">, such that </w:t>
      </w:r>
      <w:r w:rsidR="00460339" w:rsidRPr="00460339">
        <w:rPr>
          <w:b/>
          <w:bCs/>
        </w:rPr>
        <w:t>One set of requirements for coexisting with legacy TDD system in adjacent channel</w:t>
      </w:r>
      <w:r w:rsidR="00460339">
        <w:rPr>
          <w:b/>
          <w:bCs/>
        </w:rPr>
        <w:t xml:space="preserve"> and another </w:t>
      </w:r>
      <w:r w:rsidR="00460339" w:rsidRPr="00460339">
        <w:rPr>
          <w:b/>
          <w:bCs/>
        </w:rPr>
        <w:t>set of requirements for coexisting with new SBFD system in adjacent channel</w:t>
      </w:r>
      <w:r w:rsidR="00460339">
        <w:rPr>
          <w:b/>
          <w:bCs/>
        </w:rPr>
        <w:t>.</w:t>
      </w:r>
    </w:p>
    <w:p w14:paraId="46DCD988" w14:textId="77777777" w:rsidR="00A37CEF" w:rsidRDefault="00A37CEF" w:rsidP="002A0877">
      <w:pPr>
        <w:pStyle w:val="Heading1"/>
        <w:jc w:val="both"/>
      </w:pPr>
      <w:r>
        <w:t>Conclusion</w:t>
      </w:r>
    </w:p>
    <w:p w14:paraId="21920010" w14:textId="2669ACB9" w:rsidR="00A37CEF" w:rsidRDefault="00A37CEF" w:rsidP="002A087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CE7110">
        <w:t xml:space="preserve">BS RF requirements for SBFD </w:t>
      </w:r>
      <w:r w:rsidRPr="00A562B7">
        <w:t>with</w:t>
      </w:r>
      <w:r>
        <w:t xml:space="preserve"> the </w:t>
      </w:r>
      <w:r w:rsidRPr="00A562B7">
        <w:t>following</w:t>
      </w:r>
      <w:r>
        <w:t xml:space="preserve"> observations and </w:t>
      </w:r>
      <w:r w:rsidRPr="00A562B7">
        <w:t>proposals:</w:t>
      </w:r>
    </w:p>
    <w:p w14:paraId="2B69B131" w14:textId="07140139" w:rsidR="00C372D6" w:rsidRPr="00C372D6" w:rsidRDefault="00C372D6" w:rsidP="00460339">
      <w:pPr>
        <w:jc w:val="both"/>
        <w:rPr>
          <w:b/>
          <w:bCs/>
          <w:lang w:val="en-GB"/>
        </w:rPr>
      </w:pPr>
      <w:r w:rsidRPr="00A12CCE">
        <w:rPr>
          <w:b/>
          <w:bCs/>
          <w:u w:val="single"/>
          <w:lang w:val="en-GB"/>
        </w:rPr>
        <w:t xml:space="preserve">Observation </w:t>
      </w:r>
      <w:r>
        <w:rPr>
          <w:b/>
          <w:bCs/>
          <w:u w:val="single"/>
          <w:lang w:val="en-GB"/>
        </w:rPr>
        <w:t>1</w:t>
      </w:r>
      <w:r w:rsidRPr="00A12CCE">
        <w:rPr>
          <w:b/>
          <w:bCs/>
          <w:lang w:val="en-GB"/>
        </w:rPr>
        <w:t xml:space="preserve">: </w:t>
      </w:r>
      <w:r>
        <w:rPr>
          <w:b/>
          <w:bCs/>
          <w:lang w:val="en-GB"/>
        </w:rPr>
        <w:t xml:space="preserve">When coexisting with SBFD-capable BS, legacy ACLR requirement might not be sufficient to ensure feasible coexistence. Additionally, RAN4 has only considered ACIR enhancement as a possible solution during the SI phase. </w:t>
      </w:r>
    </w:p>
    <w:p w14:paraId="7129FFFD" w14:textId="48777FAB" w:rsidR="00460339" w:rsidRPr="00460339" w:rsidRDefault="00460339" w:rsidP="00460339">
      <w:pPr>
        <w:jc w:val="both"/>
        <w:rPr>
          <w:rFonts w:eastAsiaTheme="minorEastAsia"/>
          <w:b/>
          <w:bCs/>
          <w:lang w:eastAsia="zh-CN"/>
        </w:rPr>
      </w:pPr>
      <w:r w:rsidRPr="00666011">
        <w:rPr>
          <w:rFonts w:eastAsiaTheme="minorEastAsia"/>
          <w:b/>
          <w:bCs/>
          <w:u w:val="single"/>
          <w:lang w:eastAsia="zh-CN"/>
        </w:rPr>
        <w:t>Proposal 1</w:t>
      </w:r>
      <w:r w:rsidRPr="00666011">
        <w:rPr>
          <w:rFonts w:eastAsiaTheme="minorEastAsia"/>
          <w:b/>
          <w:bCs/>
          <w:lang w:eastAsia="zh-CN"/>
        </w:rPr>
        <w:t>: RAN4 to consider</w:t>
      </w:r>
      <w:r>
        <w:rPr>
          <w:rFonts w:eastAsiaTheme="minorEastAsia"/>
          <w:b/>
          <w:bCs/>
          <w:lang w:eastAsia="zh-CN"/>
        </w:rPr>
        <w:t xml:space="preserve"> </w:t>
      </w:r>
      <w:proofErr w:type="gramStart"/>
      <w:r w:rsidRPr="00666011">
        <w:rPr>
          <w:rFonts w:eastAsiaTheme="minorEastAsia"/>
          <w:b/>
          <w:bCs/>
          <w:lang w:eastAsia="zh-CN"/>
        </w:rPr>
        <w:t>additional</w:t>
      </w:r>
      <w:proofErr w:type="gramEnd"/>
      <w:r w:rsidRPr="00666011">
        <w:rPr>
          <w:rFonts w:eastAsiaTheme="minorEastAsia"/>
          <w:b/>
          <w:bCs/>
          <w:lang w:eastAsia="zh-CN"/>
        </w:rPr>
        <w:t xml:space="preserve"> ACLR requirement </w:t>
      </w:r>
      <w:r>
        <w:rPr>
          <w:rFonts w:eastAsiaTheme="minorEastAsia"/>
          <w:b/>
          <w:bCs/>
          <w:lang w:eastAsia="zh-CN"/>
        </w:rPr>
        <w:t xml:space="preserve">assuming 1 dB desensitization </w:t>
      </w:r>
      <w:r w:rsidRPr="00666011">
        <w:rPr>
          <w:rFonts w:eastAsiaTheme="minorEastAsia"/>
          <w:b/>
          <w:bCs/>
          <w:lang w:eastAsia="zh-CN"/>
        </w:rPr>
        <w:t xml:space="preserve">to ensure feasible coexistence with SBFD-capable gNB. As a starting point, urban macro deployments should be considered as representing the challenging scenario. </w:t>
      </w:r>
    </w:p>
    <w:p w14:paraId="4D7EA0A0" w14:textId="1E099872" w:rsidR="00460339" w:rsidRPr="00460339" w:rsidRDefault="00460339" w:rsidP="00460339">
      <w:pPr>
        <w:jc w:val="both"/>
        <w:rPr>
          <w:rFonts w:eastAsiaTheme="minorEastAsia"/>
          <w:b/>
          <w:bCs/>
          <w:lang w:eastAsia="zh-CN"/>
        </w:rPr>
      </w:pPr>
      <w:r w:rsidRPr="00460339">
        <w:rPr>
          <w:rFonts w:eastAsiaTheme="minorEastAsia"/>
          <w:b/>
          <w:bCs/>
          <w:u w:val="single"/>
          <w:lang w:eastAsia="zh-CN"/>
        </w:rPr>
        <w:t>Proposal 2</w:t>
      </w:r>
      <w:r>
        <w:rPr>
          <w:rFonts w:eastAsiaTheme="minorEastAsia"/>
          <w:b/>
          <w:bCs/>
          <w:lang w:eastAsia="zh-CN"/>
        </w:rPr>
        <w:t xml:space="preserve">: Given that RAN4 agreed to introduce new in-channel inter-subband leakage and blocking requirements, it should not be excluded to introduce new additional OBUE requirements for inter-SBFD inter-operator coexistence. Relying on a proprietary solution for such a deployment scenario might not be feasible. </w:t>
      </w:r>
    </w:p>
    <w:p w14:paraId="43368054" w14:textId="4EE54B17" w:rsidR="00460339" w:rsidRPr="00460339" w:rsidRDefault="00460339" w:rsidP="00460339">
      <w:pPr>
        <w:rPr>
          <w:b/>
          <w:bCs/>
          <w:lang w:eastAsia="ja-JP"/>
        </w:rPr>
      </w:pPr>
      <w:r w:rsidRPr="00DF583B">
        <w:rPr>
          <w:b/>
          <w:bCs/>
          <w:u w:val="single"/>
        </w:rPr>
        <w:t xml:space="preserve">Proposal </w:t>
      </w:r>
      <w:r>
        <w:rPr>
          <w:b/>
          <w:bCs/>
          <w:u w:val="single"/>
        </w:rPr>
        <w:t>3</w:t>
      </w:r>
      <w:r w:rsidRPr="00DF583B">
        <w:rPr>
          <w:b/>
          <w:bCs/>
        </w:rPr>
        <w:t xml:space="preserve">: RAN4 to consider </w:t>
      </w:r>
      <w:r>
        <w:rPr>
          <w:b/>
          <w:bCs/>
        </w:rPr>
        <w:t xml:space="preserve">option 2 for FR1 WA BS, where </w:t>
      </w:r>
      <w:r w:rsidRPr="00460339">
        <w:rPr>
          <w:b/>
          <w:bCs/>
        </w:rPr>
        <w:t>separate requirements are defined</w:t>
      </w:r>
      <w:r>
        <w:rPr>
          <w:b/>
          <w:bCs/>
        </w:rPr>
        <w:t xml:space="preserve">, such that </w:t>
      </w:r>
      <w:r w:rsidRPr="00460339">
        <w:rPr>
          <w:b/>
          <w:bCs/>
        </w:rPr>
        <w:t>One set of requirements for coexisting with legacy TDD system in adjacent channel</w:t>
      </w:r>
      <w:r>
        <w:rPr>
          <w:b/>
          <w:bCs/>
        </w:rPr>
        <w:t xml:space="preserve"> and another </w:t>
      </w:r>
      <w:r w:rsidRPr="00460339">
        <w:rPr>
          <w:b/>
          <w:bCs/>
        </w:rPr>
        <w:t>set of requirements for coexisting with new SBFD system in adjacent channel</w:t>
      </w:r>
      <w:r>
        <w:rPr>
          <w:b/>
          <w:bCs/>
        </w:rPr>
        <w:t>.</w:t>
      </w:r>
    </w:p>
    <w:p w14:paraId="2B7C1C2C" w14:textId="77777777" w:rsidR="00A37CEF" w:rsidRPr="00D54742" w:rsidRDefault="00A37CEF" w:rsidP="002A0877">
      <w:pPr>
        <w:pStyle w:val="Heading1"/>
        <w:jc w:val="both"/>
      </w:pPr>
      <w:r>
        <w:t>References</w:t>
      </w:r>
    </w:p>
    <w:p w14:paraId="20F7CEBE" w14:textId="77777777" w:rsidR="001737E0" w:rsidRDefault="001737E0" w:rsidP="001737E0">
      <w:pPr>
        <w:pStyle w:val="References"/>
        <w:numPr>
          <w:ilvl w:val="0"/>
          <w:numId w:val="2"/>
        </w:numPr>
        <w:autoSpaceDE/>
        <w:autoSpaceDN/>
        <w:snapToGrid/>
        <w:spacing w:after="80" w:line="256" w:lineRule="auto"/>
        <w:rPr>
          <w:szCs w:val="20"/>
          <w:lang w:val="en-GB"/>
        </w:rPr>
      </w:pPr>
      <w:bookmarkStart w:id="5" w:name="_Ref47616084"/>
      <w:bookmarkStart w:id="6" w:name="_Ref32439522"/>
      <w:r w:rsidRPr="00753211">
        <w:rPr>
          <w:szCs w:val="20"/>
          <w:lang w:val="en-GB"/>
        </w:rPr>
        <w:t>RP-240789</w:t>
      </w:r>
      <w:r w:rsidRPr="005C32DA">
        <w:rPr>
          <w:szCs w:val="20"/>
          <w:lang w:val="en-GB"/>
        </w:rPr>
        <w:t xml:space="preserve"> </w:t>
      </w:r>
      <w:r w:rsidRPr="00785E35">
        <w:rPr>
          <w:szCs w:val="20"/>
          <w:lang w:val="en-GB"/>
        </w:rPr>
        <w:t>“</w:t>
      </w:r>
      <w:r>
        <w:rPr>
          <w:szCs w:val="20"/>
          <w:lang w:val="en-GB"/>
        </w:rPr>
        <w:t>Revised</w:t>
      </w:r>
      <w:r w:rsidRPr="005945B3">
        <w:rPr>
          <w:szCs w:val="20"/>
          <w:lang w:val="en-GB"/>
        </w:rPr>
        <w:t xml:space="preserve"> WID: Evolution of NR duplex operation: Sub-band full duplex (SBFD)</w:t>
      </w:r>
      <w:r w:rsidRPr="00785E35">
        <w:rPr>
          <w:szCs w:val="20"/>
          <w:lang w:val="en-GB"/>
        </w:rPr>
        <w:t xml:space="preserve">”, </w:t>
      </w:r>
      <w:r>
        <w:rPr>
          <w:szCs w:val="20"/>
          <w:lang w:val="en-GB"/>
        </w:rPr>
        <w:t xml:space="preserve">Huawei, </w:t>
      </w:r>
      <w:proofErr w:type="spellStart"/>
      <w:r>
        <w:rPr>
          <w:szCs w:val="20"/>
          <w:lang w:val="en-GB"/>
        </w:rPr>
        <w:t>HiSilicon</w:t>
      </w:r>
      <w:proofErr w:type="spellEnd"/>
      <w:r w:rsidRPr="00785E35">
        <w:rPr>
          <w:szCs w:val="20"/>
          <w:lang w:val="en-GB"/>
        </w:rPr>
        <w:t xml:space="preserve">, </w:t>
      </w:r>
      <w:r w:rsidRPr="003E1C6B">
        <w:rPr>
          <w:szCs w:val="20"/>
          <w:lang w:val="en-GB"/>
        </w:rPr>
        <w:t>3GPP TSG RAN#</w:t>
      </w:r>
      <w:r>
        <w:rPr>
          <w:szCs w:val="20"/>
          <w:lang w:val="en-GB"/>
        </w:rPr>
        <w:t>103</w:t>
      </w:r>
      <w:r w:rsidRPr="00785E35">
        <w:rPr>
          <w:szCs w:val="20"/>
          <w:lang w:val="en-GB"/>
        </w:rPr>
        <w:t>.</w:t>
      </w:r>
      <w:bookmarkEnd w:id="5"/>
    </w:p>
    <w:p w14:paraId="5DC3233E" w14:textId="2CAF8BF4" w:rsidR="001737E0" w:rsidRDefault="006C6E79" w:rsidP="001737E0">
      <w:pPr>
        <w:pStyle w:val="References"/>
        <w:numPr>
          <w:ilvl w:val="0"/>
          <w:numId w:val="2"/>
        </w:numPr>
        <w:autoSpaceDE/>
        <w:autoSpaceDN/>
        <w:snapToGrid/>
        <w:spacing w:after="80" w:line="256" w:lineRule="auto"/>
        <w:rPr>
          <w:szCs w:val="20"/>
          <w:lang w:val="en-GB"/>
        </w:rPr>
      </w:pPr>
      <w:r w:rsidRPr="006C6E79">
        <w:rPr>
          <w:szCs w:val="20"/>
          <w:lang w:val="en-GB"/>
        </w:rPr>
        <w:t>R4-2416585</w:t>
      </w:r>
      <w:r w:rsidR="001737E0" w:rsidRPr="00A37CEF">
        <w:rPr>
          <w:szCs w:val="20"/>
          <w:lang w:val="en-GB"/>
        </w:rPr>
        <w:t>, “</w:t>
      </w:r>
      <w:r w:rsidR="001737E0" w:rsidRPr="00F10AFF">
        <w:rPr>
          <w:szCs w:val="20"/>
          <w:lang w:val="en-GB"/>
        </w:rPr>
        <w:t>Way Forward for [112][30</w:t>
      </w:r>
      <w:r w:rsidR="001D510D">
        <w:rPr>
          <w:szCs w:val="20"/>
          <w:lang w:val="en-GB"/>
        </w:rPr>
        <w:t>8</w:t>
      </w:r>
      <w:r w:rsidR="001737E0" w:rsidRPr="00F10AFF">
        <w:rPr>
          <w:szCs w:val="20"/>
          <w:lang w:val="en-GB"/>
        </w:rPr>
        <w:t xml:space="preserve">] </w:t>
      </w:r>
      <w:proofErr w:type="spellStart"/>
      <w:r w:rsidR="001737E0" w:rsidRPr="00F10AFF">
        <w:rPr>
          <w:szCs w:val="20"/>
          <w:lang w:val="en-GB"/>
        </w:rPr>
        <w:t>NR_duplex_evo_General</w:t>
      </w:r>
      <w:proofErr w:type="spellEnd"/>
      <w:r w:rsidR="001737E0" w:rsidRPr="00A37CEF">
        <w:rPr>
          <w:szCs w:val="20"/>
          <w:lang w:val="en-GB"/>
        </w:rPr>
        <w:t xml:space="preserve">”, </w:t>
      </w:r>
      <w:r w:rsidR="001737E0">
        <w:rPr>
          <w:szCs w:val="20"/>
          <w:lang w:val="en-GB"/>
        </w:rPr>
        <w:t>RAN4#112</w:t>
      </w:r>
      <w:r>
        <w:rPr>
          <w:szCs w:val="20"/>
          <w:lang w:val="en-GB"/>
        </w:rPr>
        <w:t>bis</w:t>
      </w:r>
      <w:r w:rsidR="001737E0">
        <w:rPr>
          <w:szCs w:val="20"/>
          <w:lang w:val="en-GB"/>
        </w:rPr>
        <w:t xml:space="preserve">, </w:t>
      </w:r>
      <w:r w:rsidR="00D97ABE">
        <w:rPr>
          <w:szCs w:val="20"/>
          <w:lang w:val="en-GB"/>
        </w:rPr>
        <w:t xml:space="preserve">Huawei, </w:t>
      </w:r>
      <w:proofErr w:type="spellStart"/>
      <w:r w:rsidR="00D97ABE">
        <w:rPr>
          <w:szCs w:val="20"/>
          <w:lang w:val="en-GB"/>
        </w:rPr>
        <w:t>HiSilicon</w:t>
      </w:r>
      <w:proofErr w:type="spellEnd"/>
      <w:r w:rsidR="001737E0" w:rsidRPr="00A37CEF">
        <w:rPr>
          <w:szCs w:val="20"/>
          <w:lang w:val="en-GB"/>
        </w:rPr>
        <w:t xml:space="preserve">. </w:t>
      </w:r>
    </w:p>
    <w:bookmarkEnd w:id="6"/>
    <w:p w14:paraId="7547DE2D" w14:textId="77777777" w:rsidR="00A37CEF" w:rsidRDefault="00A37CEF" w:rsidP="002A0877">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25547" w14:textId="77777777" w:rsidR="00331AC2" w:rsidRDefault="00331AC2">
      <w:pPr>
        <w:spacing w:after="0"/>
      </w:pPr>
      <w:r>
        <w:separator/>
      </w:r>
    </w:p>
  </w:endnote>
  <w:endnote w:type="continuationSeparator" w:id="0">
    <w:p w14:paraId="305DC12B" w14:textId="77777777" w:rsidR="00331AC2" w:rsidRDefault="00331AC2">
      <w:pPr>
        <w:spacing w:after="0"/>
      </w:pPr>
      <w:r>
        <w:continuationSeparator/>
      </w:r>
    </w:p>
  </w:endnote>
  <w:endnote w:type="continuationNotice" w:id="1">
    <w:p w14:paraId="7C14C2CA" w14:textId="77777777" w:rsidR="00331AC2" w:rsidRDefault="00331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E1952" w14:textId="77777777" w:rsidR="00331AC2" w:rsidRDefault="00331AC2">
      <w:pPr>
        <w:spacing w:after="0"/>
      </w:pPr>
      <w:r>
        <w:separator/>
      </w:r>
    </w:p>
  </w:footnote>
  <w:footnote w:type="continuationSeparator" w:id="0">
    <w:p w14:paraId="25713146" w14:textId="77777777" w:rsidR="00331AC2" w:rsidRDefault="00331AC2">
      <w:pPr>
        <w:spacing w:after="0"/>
      </w:pPr>
      <w:r>
        <w:continuationSeparator/>
      </w:r>
    </w:p>
  </w:footnote>
  <w:footnote w:type="continuationNotice" w:id="1">
    <w:p w14:paraId="6EEFE397" w14:textId="77777777" w:rsidR="00331AC2" w:rsidRDefault="00331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36914"/>
    <w:multiLevelType w:val="hybridMultilevel"/>
    <w:tmpl w:val="F8F2FDF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4988422">
    <w:abstractNumId w:val="11"/>
  </w:num>
  <w:num w:numId="2" w16cid:durableId="276178333">
    <w:abstractNumId w:val="0"/>
  </w:num>
  <w:num w:numId="3" w16cid:durableId="741606055">
    <w:abstractNumId w:val="3"/>
  </w:num>
  <w:num w:numId="4" w16cid:durableId="1935287387">
    <w:abstractNumId w:val="17"/>
  </w:num>
  <w:num w:numId="5" w16cid:durableId="1753619575">
    <w:abstractNumId w:val="23"/>
  </w:num>
  <w:num w:numId="6" w16cid:durableId="528227147">
    <w:abstractNumId w:val="7"/>
  </w:num>
  <w:num w:numId="7" w16cid:durableId="1151141409">
    <w:abstractNumId w:val="25"/>
  </w:num>
  <w:num w:numId="8" w16cid:durableId="1326208731">
    <w:abstractNumId w:val="22"/>
  </w:num>
  <w:num w:numId="9" w16cid:durableId="2096242991">
    <w:abstractNumId w:val="19"/>
  </w:num>
  <w:num w:numId="10" w16cid:durableId="964656557">
    <w:abstractNumId w:val="24"/>
  </w:num>
  <w:num w:numId="11" w16cid:durableId="724842134">
    <w:abstractNumId w:val="6"/>
  </w:num>
  <w:num w:numId="12" w16cid:durableId="1263489318">
    <w:abstractNumId w:val="32"/>
  </w:num>
  <w:num w:numId="13" w16cid:durableId="1656177574">
    <w:abstractNumId w:val="5"/>
  </w:num>
  <w:num w:numId="14" w16cid:durableId="1351568597">
    <w:abstractNumId w:val="2"/>
  </w:num>
  <w:num w:numId="15" w16cid:durableId="197086569">
    <w:abstractNumId w:val="8"/>
  </w:num>
  <w:num w:numId="16" w16cid:durableId="1700426356">
    <w:abstractNumId w:val="9"/>
  </w:num>
  <w:num w:numId="17" w16cid:durableId="517815193">
    <w:abstractNumId w:val="10"/>
  </w:num>
  <w:num w:numId="18" w16cid:durableId="1275752242">
    <w:abstractNumId w:val="21"/>
  </w:num>
  <w:num w:numId="19" w16cid:durableId="1417093260">
    <w:abstractNumId w:val="16"/>
  </w:num>
  <w:num w:numId="20" w16cid:durableId="925773427">
    <w:abstractNumId w:val="30"/>
  </w:num>
  <w:num w:numId="21" w16cid:durableId="306326423">
    <w:abstractNumId w:val="4"/>
  </w:num>
  <w:num w:numId="22" w16cid:durableId="1262372539">
    <w:abstractNumId w:val="15"/>
  </w:num>
  <w:num w:numId="23" w16cid:durableId="634524535">
    <w:abstractNumId w:val="14"/>
  </w:num>
  <w:num w:numId="24" w16cid:durableId="1509710620">
    <w:abstractNumId w:val="29"/>
  </w:num>
  <w:num w:numId="25" w16cid:durableId="475488186">
    <w:abstractNumId w:val="27"/>
  </w:num>
  <w:num w:numId="26" w16cid:durableId="577984225">
    <w:abstractNumId w:val="20"/>
  </w:num>
  <w:num w:numId="27" w16cid:durableId="236524678">
    <w:abstractNumId w:val="31"/>
  </w:num>
  <w:num w:numId="28" w16cid:durableId="1915163336">
    <w:abstractNumId w:val="12"/>
  </w:num>
  <w:num w:numId="29" w16cid:durableId="1180585837">
    <w:abstractNumId w:val="13"/>
  </w:num>
  <w:num w:numId="30" w16cid:durableId="130952112">
    <w:abstractNumId w:val="26"/>
  </w:num>
  <w:num w:numId="31" w16cid:durableId="1276710328">
    <w:abstractNumId w:val="1"/>
  </w:num>
  <w:num w:numId="32" w16cid:durableId="837580447">
    <w:abstractNumId w:val="34"/>
  </w:num>
  <w:num w:numId="33" w16cid:durableId="1889873422">
    <w:abstractNumId w:val="28"/>
  </w:num>
  <w:num w:numId="34" w16cid:durableId="1830167566">
    <w:abstractNumId w:val="18"/>
  </w:num>
  <w:num w:numId="35" w16cid:durableId="165491743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ACF"/>
    <w:rsid w:val="00011B8F"/>
    <w:rsid w:val="00012E5E"/>
    <w:rsid w:val="00040198"/>
    <w:rsid w:val="00042F87"/>
    <w:rsid w:val="000522DE"/>
    <w:rsid w:val="00071946"/>
    <w:rsid w:val="0007385C"/>
    <w:rsid w:val="00080CD0"/>
    <w:rsid w:val="0008520B"/>
    <w:rsid w:val="00097DDE"/>
    <w:rsid w:val="000B045F"/>
    <w:rsid w:val="000C5F0B"/>
    <w:rsid w:val="000E1A1B"/>
    <w:rsid w:val="00101864"/>
    <w:rsid w:val="00110C08"/>
    <w:rsid w:val="001143AD"/>
    <w:rsid w:val="00125EDD"/>
    <w:rsid w:val="00127E88"/>
    <w:rsid w:val="00146ED2"/>
    <w:rsid w:val="0014783E"/>
    <w:rsid w:val="00154124"/>
    <w:rsid w:val="001663D5"/>
    <w:rsid w:val="001737E0"/>
    <w:rsid w:val="00174A48"/>
    <w:rsid w:val="0017600B"/>
    <w:rsid w:val="00176A56"/>
    <w:rsid w:val="00183792"/>
    <w:rsid w:val="001841B1"/>
    <w:rsid w:val="00191713"/>
    <w:rsid w:val="001A1B81"/>
    <w:rsid w:val="001B2602"/>
    <w:rsid w:val="001C19F4"/>
    <w:rsid w:val="001D510D"/>
    <w:rsid w:val="001D54E0"/>
    <w:rsid w:val="001F6E68"/>
    <w:rsid w:val="001F7C18"/>
    <w:rsid w:val="0020337F"/>
    <w:rsid w:val="00205B4B"/>
    <w:rsid w:val="002137C2"/>
    <w:rsid w:val="00214068"/>
    <w:rsid w:val="00226BAA"/>
    <w:rsid w:val="00227A45"/>
    <w:rsid w:val="0023172D"/>
    <w:rsid w:val="00237667"/>
    <w:rsid w:val="0024056C"/>
    <w:rsid w:val="002415E8"/>
    <w:rsid w:val="00250F42"/>
    <w:rsid w:val="00253E95"/>
    <w:rsid w:val="002559EB"/>
    <w:rsid w:val="002661E3"/>
    <w:rsid w:val="00271968"/>
    <w:rsid w:val="00275C28"/>
    <w:rsid w:val="00285987"/>
    <w:rsid w:val="002904E7"/>
    <w:rsid w:val="002957BF"/>
    <w:rsid w:val="002A0877"/>
    <w:rsid w:val="002A48E5"/>
    <w:rsid w:val="002B37C9"/>
    <w:rsid w:val="002B7483"/>
    <w:rsid w:val="002B7864"/>
    <w:rsid w:val="002D6C8C"/>
    <w:rsid w:val="002E21FA"/>
    <w:rsid w:val="002E379C"/>
    <w:rsid w:val="002E68AC"/>
    <w:rsid w:val="002E7C21"/>
    <w:rsid w:val="002F3C21"/>
    <w:rsid w:val="00301325"/>
    <w:rsid w:val="00302B97"/>
    <w:rsid w:val="0030660F"/>
    <w:rsid w:val="0031565E"/>
    <w:rsid w:val="0032021E"/>
    <w:rsid w:val="003228A6"/>
    <w:rsid w:val="00323D8C"/>
    <w:rsid w:val="00331AC2"/>
    <w:rsid w:val="00370B59"/>
    <w:rsid w:val="00372ECA"/>
    <w:rsid w:val="003768AB"/>
    <w:rsid w:val="0039127D"/>
    <w:rsid w:val="003A141C"/>
    <w:rsid w:val="003A2CFD"/>
    <w:rsid w:val="003A4200"/>
    <w:rsid w:val="003A66A2"/>
    <w:rsid w:val="003B0C33"/>
    <w:rsid w:val="003B1FFF"/>
    <w:rsid w:val="003B2015"/>
    <w:rsid w:val="003B2119"/>
    <w:rsid w:val="003C7439"/>
    <w:rsid w:val="003E2F06"/>
    <w:rsid w:val="00401DF9"/>
    <w:rsid w:val="00417AEB"/>
    <w:rsid w:val="004207BE"/>
    <w:rsid w:val="00421E71"/>
    <w:rsid w:val="00422733"/>
    <w:rsid w:val="00422C13"/>
    <w:rsid w:val="00447550"/>
    <w:rsid w:val="004563FB"/>
    <w:rsid w:val="00460339"/>
    <w:rsid w:val="00460441"/>
    <w:rsid w:val="00460D91"/>
    <w:rsid w:val="00476B9C"/>
    <w:rsid w:val="004861C1"/>
    <w:rsid w:val="0048722C"/>
    <w:rsid w:val="00491558"/>
    <w:rsid w:val="004945D2"/>
    <w:rsid w:val="004A56D0"/>
    <w:rsid w:val="004A5F79"/>
    <w:rsid w:val="004A7EA2"/>
    <w:rsid w:val="004C1401"/>
    <w:rsid w:val="004D0585"/>
    <w:rsid w:val="00511429"/>
    <w:rsid w:val="00515DF6"/>
    <w:rsid w:val="00516597"/>
    <w:rsid w:val="00516DAF"/>
    <w:rsid w:val="00523634"/>
    <w:rsid w:val="0052648A"/>
    <w:rsid w:val="00540B8E"/>
    <w:rsid w:val="00543697"/>
    <w:rsid w:val="00543C13"/>
    <w:rsid w:val="00556880"/>
    <w:rsid w:val="00560D4B"/>
    <w:rsid w:val="00582C3B"/>
    <w:rsid w:val="00586E75"/>
    <w:rsid w:val="00593642"/>
    <w:rsid w:val="005C6CB9"/>
    <w:rsid w:val="005D66C2"/>
    <w:rsid w:val="005F730B"/>
    <w:rsid w:val="006107E7"/>
    <w:rsid w:val="006258BD"/>
    <w:rsid w:val="00633543"/>
    <w:rsid w:val="00633573"/>
    <w:rsid w:val="0064631E"/>
    <w:rsid w:val="006565AF"/>
    <w:rsid w:val="0066354C"/>
    <w:rsid w:val="00664464"/>
    <w:rsid w:val="00666011"/>
    <w:rsid w:val="00667B84"/>
    <w:rsid w:val="006738CE"/>
    <w:rsid w:val="00681805"/>
    <w:rsid w:val="006818F8"/>
    <w:rsid w:val="00690ED5"/>
    <w:rsid w:val="00692032"/>
    <w:rsid w:val="00692EC1"/>
    <w:rsid w:val="006A7447"/>
    <w:rsid w:val="006B0E0F"/>
    <w:rsid w:val="006B2638"/>
    <w:rsid w:val="006C6E79"/>
    <w:rsid w:val="006D2AFF"/>
    <w:rsid w:val="006D4D35"/>
    <w:rsid w:val="006D5840"/>
    <w:rsid w:val="006D63F7"/>
    <w:rsid w:val="006E0AE9"/>
    <w:rsid w:val="006E4349"/>
    <w:rsid w:val="006F6280"/>
    <w:rsid w:val="006F730F"/>
    <w:rsid w:val="007008E2"/>
    <w:rsid w:val="007018D8"/>
    <w:rsid w:val="00705014"/>
    <w:rsid w:val="0070632C"/>
    <w:rsid w:val="007117DD"/>
    <w:rsid w:val="0072106E"/>
    <w:rsid w:val="00727DC9"/>
    <w:rsid w:val="007354CE"/>
    <w:rsid w:val="007450D2"/>
    <w:rsid w:val="00752961"/>
    <w:rsid w:val="00753211"/>
    <w:rsid w:val="0075682C"/>
    <w:rsid w:val="007621D1"/>
    <w:rsid w:val="007653BB"/>
    <w:rsid w:val="00767151"/>
    <w:rsid w:val="00771053"/>
    <w:rsid w:val="00773780"/>
    <w:rsid w:val="00780BBC"/>
    <w:rsid w:val="007901C7"/>
    <w:rsid w:val="007905B1"/>
    <w:rsid w:val="007C432C"/>
    <w:rsid w:val="007E3189"/>
    <w:rsid w:val="007E49C0"/>
    <w:rsid w:val="007F12B8"/>
    <w:rsid w:val="007F13E3"/>
    <w:rsid w:val="00801478"/>
    <w:rsid w:val="008019AF"/>
    <w:rsid w:val="008032A6"/>
    <w:rsid w:val="0081245A"/>
    <w:rsid w:val="00816D3E"/>
    <w:rsid w:val="00821175"/>
    <w:rsid w:val="0082235C"/>
    <w:rsid w:val="00825F5E"/>
    <w:rsid w:val="00827913"/>
    <w:rsid w:val="00880F3A"/>
    <w:rsid w:val="00890214"/>
    <w:rsid w:val="0089771A"/>
    <w:rsid w:val="008A391F"/>
    <w:rsid w:val="008B00FC"/>
    <w:rsid w:val="008C6339"/>
    <w:rsid w:val="008D31CC"/>
    <w:rsid w:val="008D6DE6"/>
    <w:rsid w:val="008F1778"/>
    <w:rsid w:val="008F4007"/>
    <w:rsid w:val="009015C8"/>
    <w:rsid w:val="00901F73"/>
    <w:rsid w:val="00904E4C"/>
    <w:rsid w:val="0090669B"/>
    <w:rsid w:val="00912CDC"/>
    <w:rsid w:val="009152FC"/>
    <w:rsid w:val="0091595A"/>
    <w:rsid w:val="009169F8"/>
    <w:rsid w:val="009214B4"/>
    <w:rsid w:val="00925A3A"/>
    <w:rsid w:val="0092718D"/>
    <w:rsid w:val="0093198E"/>
    <w:rsid w:val="00946833"/>
    <w:rsid w:val="009534D5"/>
    <w:rsid w:val="00960B62"/>
    <w:rsid w:val="00975340"/>
    <w:rsid w:val="0099574F"/>
    <w:rsid w:val="009C07A6"/>
    <w:rsid w:val="009C497B"/>
    <w:rsid w:val="009D7F66"/>
    <w:rsid w:val="009E5680"/>
    <w:rsid w:val="009F0F3F"/>
    <w:rsid w:val="009F1412"/>
    <w:rsid w:val="00A03C8D"/>
    <w:rsid w:val="00A12CCE"/>
    <w:rsid w:val="00A227D7"/>
    <w:rsid w:val="00A22A4B"/>
    <w:rsid w:val="00A2326C"/>
    <w:rsid w:val="00A25A5D"/>
    <w:rsid w:val="00A333A3"/>
    <w:rsid w:val="00A37CEF"/>
    <w:rsid w:val="00A5423E"/>
    <w:rsid w:val="00A60640"/>
    <w:rsid w:val="00A6386A"/>
    <w:rsid w:val="00A701A8"/>
    <w:rsid w:val="00A76A89"/>
    <w:rsid w:val="00A7799D"/>
    <w:rsid w:val="00A84824"/>
    <w:rsid w:val="00A87452"/>
    <w:rsid w:val="00A951B5"/>
    <w:rsid w:val="00A96DB3"/>
    <w:rsid w:val="00AA5EF7"/>
    <w:rsid w:val="00AA6AEB"/>
    <w:rsid w:val="00AA6CCC"/>
    <w:rsid w:val="00AC576F"/>
    <w:rsid w:val="00AC60A4"/>
    <w:rsid w:val="00AC7ACA"/>
    <w:rsid w:val="00AD546F"/>
    <w:rsid w:val="00AD55E4"/>
    <w:rsid w:val="00AF207B"/>
    <w:rsid w:val="00AF2ADB"/>
    <w:rsid w:val="00AF54AA"/>
    <w:rsid w:val="00AF6269"/>
    <w:rsid w:val="00B22D42"/>
    <w:rsid w:val="00B336E2"/>
    <w:rsid w:val="00B35350"/>
    <w:rsid w:val="00B42584"/>
    <w:rsid w:val="00B42B77"/>
    <w:rsid w:val="00B4571C"/>
    <w:rsid w:val="00B52C0B"/>
    <w:rsid w:val="00B54521"/>
    <w:rsid w:val="00B6421A"/>
    <w:rsid w:val="00B671A2"/>
    <w:rsid w:val="00B8218A"/>
    <w:rsid w:val="00B93BC9"/>
    <w:rsid w:val="00B93F55"/>
    <w:rsid w:val="00BC19E0"/>
    <w:rsid w:val="00BC26B2"/>
    <w:rsid w:val="00BF05C4"/>
    <w:rsid w:val="00C10E25"/>
    <w:rsid w:val="00C20293"/>
    <w:rsid w:val="00C22FEE"/>
    <w:rsid w:val="00C372D6"/>
    <w:rsid w:val="00C42092"/>
    <w:rsid w:val="00C454CD"/>
    <w:rsid w:val="00C476F7"/>
    <w:rsid w:val="00C55129"/>
    <w:rsid w:val="00C65259"/>
    <w:rsid w:val="00C77999"/>
    <w:rsid w:val="00CA463A"/>
    <w:rsid w:val="00CC3ED4"/>
    <w:rsid w:val="00CC5B9A"/>
    <w:rsid w:val="00CE5C29"/>
    <w:rsid w:val="00CE7110"/>
    <w:rsid w:val="00CF325A"/>
    <w:rsid w:val="00CF3E04"/>
    <w:rsid w:val="00CF4976"/>
    <w:rsid w:val="00CF75D3"/>
    <w:rsid w:val="00D072C6"/>
    <w:rsid w:val="00D10AD0"/>
    <w:rsid w:val="00D15EE0"/>
    <w:rsid w:val="00D2004A"/>
    <w:rsid w:val="00D25E76"/>
    <w:rsid w:val="00D3736F"/>
    <w:rsid w:val="00D60509"/>
    <w:rsid w:val="00D97ABE"/>
    <w:rsid w:val="00DA31C3"/>
    <w:rsid w:val="00DA4E76"/>
    <w:rsid w:val="00DB3FEB"/>
    <w:rsid w:val="00DC004D"/>
    <w:rsid w:val="00DC242B"/>
    <w:rsid w:val="00DD4AB6"/>
    <w:rsid w:val="00DF5371"/>
    <w:rsid w:val="00DF762E"/>
    <w:rsid w:val="00E010D1"/>
    <w:rsid w:val="00E02445"/>
    <w:rsid w:val="00E0451E"/>
    <w:rsid w:val="00E1074C"/>
    <w:rsid w:val="00E210C6"/>
    <w:rsid w:val="00E242F2"/>
    <w:rsid w:val="00E307AE"/>
    <w:rsid w:val="00E324D7"/>
    <w:rsid w:val="00E4434F"/>
    <w:rsid w:val="00E51887"/>
    <w:rsid w:val="00E53794"/>
    <w:rsid w:val="00E57003"/>
    <w:rsid w:val="00E5796C"/>
    <w:rsid w:val="00E67D1E"/>
    <w:rsid w:val="00E751F4"/>
    <w:rsid w:val="00E76E43"/>
    <w:rsid w:val="00E8553E"/>
    <w:rsid w:val="00E97104"/>
    <w:rsid w:val="00EA3C4E"/>
    <w:rsid w:val="00EA5338"/>
    <w:rsid w:val="00EB7153"/>
    <w:rsid w:val="00EC6A56"/>
    <w:rsid w:val="00EC76F4"/>
    <w:rsid w:val="00ED2FC1"/>
    <w:rsid w:val="00ED7681"/>
    <w:rsid w:val="00EE146F"/>
    <w:rsid w:val="00EF442F"/>
    <w:rsid w:val="00EF49CD"/>
    <w:rsid w:val="00F0171B"/>
    <w:rsid w:val="00F0613B"/>
    <w:rsid w:val="00F12745"/>
    <w:rsid w:val="00F44EF7"/>
    <w:rsid w:val="00F47183"/>
    <w:rsid w:val="00F51347"/>
    <w:rsid w:val="00F5459B"/>
    <w:rsid w:val="00F8145A"/>
    <w:rsid w:val="00F965A9"/>
    <w:rsid w:val="00FB7F18"/>
    <w:rsid w:val="00FC4FAD"/>
    <w:rsid w:val="00FC7347"/>
    <w:rsid w:val="00FE5EE9"/>
    <w:rsid w:val="00FE6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qFormat/>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paragraph" w:customStyle="1" w:styleId="Proposal">
    <w:name w:val="Proposal"/>
    <w:basedOn w:val="BodyText"/>
    <w:qFormat/>
    <w:rsid w:val="00780BBC"/>
    <w:pPr>
      <w:numPr>
        <w:numId w:val="34"/>
      </w:numPr>
      <w:tabs>
        <w:tab w:val="left" w:pos="1701"/>
      </w:tabs>
      <w:overflowPunct/>
      <w:autoSpaceDE/>
      <w:autoSpaceDN/>
      <w:adjustRightInd/>
      <w:spacing w:line="259" w:lineRule="auto"/>
      <w:textAlignment w:val="auto"/>
    </w:pPr>
    <w:rPr>
      <w:rFonts w:ascii="Arial"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1030</TotalTime>
  <Pages>3</Pages>
  <Words>1039</Words>
  <Characters>5926</Characters>
  <Application>Microsoft Office Word</Application>
  <DocSecurity>0</DocSecurity>
  <Lines>49</Lines>
  <Paragraphs>13</Paragraphs>
  <ScaleCrop>false</ScaleCrop>
  <Company>Qualcomm Incorporated</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330</cp:revision>
  <dcterms:created xsi:type="dcterms:W3CDTF">2024-03-19T10:25:00Z</dcterms:created>
  <dcterms:modified xsi:type="dcterms:W3CDTF">2025-02-07T16:13:00Z</dcterms:modified>
</cp:coreProperties>
</file>